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ED4C" w14:textId="4D03E22F" w:rsidR="008C1893" w:rsidRPr="00E91B0F" w:rsidRDefault="008C1893" w:rsidP="00C91544">
      <w:pPr>
        <w:spacing w:beforeLines="50" w:before="156"/>
        <w:ind w:leftChars="-135" w:hangingChars="101" w:hanging="283"/>
        <w:rPr>
          <w:b/>
          <w:color w:val="FF0000"/>
          <w:spacing w:val="11"/>
        </w:rPr>
      </w:pPr>
      <w:r>
        <w:rPr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sz w:val="28"/>
          <w:szCs w:val="28"/>
        </w:rPr>
        <w:t>：</w:t>
      </w:r>
    </w:p>
    <w:p w14:paraId="3A2E5A7F" w14:textId="00B28241" w:rsidR="008C1893" w:rsidRPr="001F5CEA" w:rsidRDefault="008C1893" w:rsidP="007B4EC0">
      <w:pPr>
        <w:spacing w:afterLines="50" w:after="156"/>
        <w:ind w:firstLineChars="946" w:firstLine="2659"/>
        <w:rPr>
          <w:sz w:val="28"/>
          <w:szCs w:val="28"/>
        </w:rPr>
      </w:pPr>
      <w:r w:rsidRPr="00F67E09">
        <w:rPr>
          <w:rFonts w:hint="eastAsia"/>
          <w:b/>
          <w:sz w:val="28"/>
          <w:szCs w:val="28"/>
        </w:rPr>
        <w:t>数据中心建设与管理</w:t>
      </w:r>
      <w:r w:rsidR="006475BC">
        <w:rPr>
          <w:rFonts w:hint="eastAsia"/>
          <w:b/>
          <w:sz w:val="28"/>
          <w:szCs w:val="28"/>
        </w:rPr>
        <w:t>（高级）</w:t>
      </w:r>
      <w:r>
        <w:rPr>
          <w:b/>
          <w:sz w:val="28"/>
          <w:szCs w:val="28"/>
        </w:rPr>
        <w:t>培训大纲</w:t>
      </w: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0"/>
      </w:tblGrid>
      <w:tr w:rsidR="008C1893" w14:paraId="0380AECD" w14:textId="77777777" w:rsidTr="00762B2C">
        <w:trPr>
          <w:trHeight w:val="540"/>
          <w:jc w:val="center"/>
        </w:trPr>
        <w:tc>
          <w:tcPr>
            <w:tcW w:w="8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8478" w14:textId="77777777" w:rsidR="008C1893" w:rsidRPr="00266119" w:rsidRDefault="008C1893" w:rsidP="008C1893">
            <w:pPr>
              <w:pStyle w:val="ab"/>
              <w:numPr>
                <w:ilvl w:val="0"/>
                <w:numId w:val="9"/>
              </w:numPr>
              <w:spacing w:line="360" w:lineRule="auto"/>
              <w:ind w:firstLineChars="0"/>
              <w:rPr>
                <w:b/>
                <w:bCs/>
              </w:rPr>
            </w:pPr>
            <w:r w:rsidRPr="00266119">
              <w:rPr>
                <w:rFonts w:hint="eastAsia"/>
                <w:b/>
                <w:bCs/>
              </w:rPr>
              <w:t>主办方介绍</w:t>
            </w:r>
          </w:p>
          <w:p w14:paraId="3BB0AA43" w14:textId="77777777" w:rsidR="008C1893" w:rsidRDefault="008C1893" w:rsidP="00762B2C">
            <w:pPr>
              <w:spacing w:line="360" w:lineRule="auto"/>
              <w:ind w:firstLineChars="200" w:firstLine="420"/>
            </w:pPr>
            <w:r w:rsidRPr="001F5CEA">
              <w:rPr>
                <w:rFonts w:hint="eastAsia"/>
              </w:rPr>
              <w:t>学员介绍</w:t>
            </w:r>
          </w:p>
        </w:tc>
      </w:tr>
      <w:tr w:rsidR="008C1893" w14:paraId="071CFF8B" w14:textId="77777777" w:rsidTr="00762B2C">
        <w:trPr>
          <w:trHeight w:val="465"/>
          <w:jc w:val="center"/>
        </w:trPr>
        <w:tc>
          <w:tcPr>
            <w:tcW w:w="8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9582" w14:textId="77777777" w:rsidR="008C1893" w:rsidRPr="00266119" w:rsidRDefault="008C1893" w:rsidP="008C1893">
            <w:pPr>
              <w:pStyle w:val="ab"/>
              <w:numPr>
                <w:ilvl w:val="0"/>
                <w:numId w:val="9"/>
              </w:numPr>
              <w:spacing w:line="360" w:lineRule="auto"/>
              <w:ind w:firstLineChars="0"/>
              <w:rPr>
                <w:b/>
                <w:bCs/>
              </w:rPr>
            </w:pPr>
            <w:r w:rsidRPr="00266119">
              <w:rPr>
                <w:rFonts w:hint="eastAsia"/>
                <w:b/>
                <w:bCs/>
              </w:rPr>
              <w:t>数据中心</w:t>
            </w:r>
            <w:r>
              <w:rPr>
                <w:rFonts w:hint="eastAsia"/>
                <w:b/>
                <w:bCs/>
              </w:rPr>
              <w:t>概述</w:t>
            </w:r>
          </w:p>
          <w:p w14:paraId="7C7A8E6A" w14:textId="77777777" w:rsidR="008C1893" w:rsidRPr="00266119" w:rsidRDefault="008C1893" w:rsidP="00762B2C">
            <w:pPr>
              <w:spacing w:line="360" w:lineRule="auto"/>
              <w:ind w:firstLineChars="200" w:firstLine="420"/>
            </w:pPr>
            <w:r w:rsidRPr="00266119">
              <w:rPr>
                <w:rFonts w:hint="eastAsia"/>
              </w:rPr>
              <w:t>数据中心</w:t>
            </w:r>
            <w:r>
              <w:rPr>
                <w:rFonts w:hint="eastAsia"/>
              </w:rPr>
              <w:t>的</w:t>
            </w:r>
            <w:r w:rsidRPr="00266119">
              <w:rPr>
                <w:rFonts w:hint="eastAsia"/>
              </w:rPr>
              <w:t>发展</w:t>
            </w:r>
          </w:p>
          <w:p w14:paraId="04B671D2" w14:textId="77777777" w:rsidR="008C1893" w:rsidRPr="002E78A4" w:rsidRDefault="008C1893" w:rsidP="00762B2C">
            <w:pPr>
              <w:spacing w:line="360" w:lineRule="auto"/>
              <w:ind w:firstLineChars="200" w:firstLine="420"/>
            </w:pPr>
            <w:r w:rsidRPr="002E78A4">
              <w:rPr>
                <w:rFonts w:hint="eastAsia"/>
              </w:rPr>
              <w:t>数据中心的类型</w:t>
            </w:r>
            <w:r w:rsidRPr="002E78A4">
              <w:t xml:space="preserve"> </w:t>
            </w:r>
          </w:p>
          <w:p w14:paraId="66393BC3" w14:textId="77777777" w:rsidR="008C1893" w:rsidRDefault="008C1893" w:rsidP="00762B2C">
            <w:pPr>
              <w:spacing w:line="360" w:lineRule="auto"/>
              <w:ind w:firstLineChars="200" w:firstLine="420"/>
            </w:pPr>
            <w:r w:rsidRPr="002E78A4">
              <w:rPr>
                <w:rFonts w:hint="eastAsia"/>
              </w:rPr>
              <w:t>数据中心</w:t>
            </w:r>
            <w:r>
              <w:rPr>
                <w:rFonts w:hint="eastAsia"/>
              </w:rPr>
              <w:t>存在的问题及案例</w:t>
            </w:r>
          </w:p>
          <w:p w14:paraId="3CB683B4" w14:textId="77777777" w:rsidR="008C1893" w:rsidRDefault="008C1893" w:rsidP="00762B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数据中心的相关政策</w:t>
            </w:r>
          </w:p>
          <w:p w14:paraId="40E75E64" w14:textId="77777777" w:rsidR="008C1893" w:rsidRPr="00266119" w:rsidRDefault="008C1893" w:rsidP="00762B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数据中心建设内容及发展趋势</w:t>
            </w:r>
          </w:p>
        </w:tc>
      </w:tr>
      <w:tr w:rsidR="008C1893" w:rsidRPr="00266119" w14:paraId="23219363" w14:textId="77777777" w:rsidTr="00762B2C">
        <w:trPr>
          <w:trHeight w:val="390"/>
          <w:jc w:val="center"/>
        </w:trPr>
        <w:tc>
          <w:tcPr>
            <w:tcW w:w="8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42978" w14:textId="77777777" w:rsidR="008C1893" w:rsidRDefault="008C1893" w:rsidP="00762B2C">
            <w:pPr>
              <w:spacing w:line="360" w:lineRule="auto"/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、数据中心标准</w:t>
            </w:r>
          </w:p>
          <w:p w14:paraId="2F37E6B7" w14:textId="77777777" w:rsidR="008C1893" w:rsidRDefault="008C1893" w:rsidP="00762B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数据中心标准体系</w:t>
            </w:r>
          </w:p>
          <w:p w14:paraId="0E9AD9B8" w14:textId="77777777" w:rsidR="008C1893" w:rsidRDefault="008C1893" w:rsidP="00762B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数据中心相关标准介绍</w:t>
            </w:r>
          </w:p>
          <w:p w14:paraId="659F1626" w14:textId="77777777" w:rsidR="008C1893" w:rsidRPr="002E78A4" w:rsidRDefault="008C1893" w:rsidP="00762B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数据中心标准改革趋势</w:t>
            </w:r>
          </w:p>
        </w:tc>
      </w:tr>
      <w:tr w:rsidR="008C1893" w14:paraId="29E46F60" w14:textId="77777777" w:rsidTr="00762B2C">
        <w:trPr>
          <w:trHeight w:val="435"/>
          <w:jc w:val="center"/>
        </w:trPr>
        <w:tc>
          <w:tcPr>
            <w:tcW w:w="8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FFFCD" w14:textId="77777777" w:rsidR="008C1893" w:rsidRDefault="008C1893" w:rsidP="00762B2C">
            <w:pPr>
              <w:spacing w:line="360" w:lineRule="auto"/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、数据中心全生命期管理</w:t>
            </w:r>
          </w:p>
          <w:p w14:paraId="18A53637" w14:textId="77777777" w:rsidR="008C1893" w:rsidRDefault="008C1893" w:rsidP="00762B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全生命期划分</w:t>
            </w:r>
          </w:p>
          <w:p w14:paraId="151D8E2F" w14:textId="77777777" w:rsidR="008C1893" w:rsidRDefault="008C1893" w:rsidP="00762B2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各阶段的管理原则</w:t>
            </w:r>
          </w:p>
        </w:tc>
      </w:tr>
      <w:tr w:rsidR="008C1893" w14:paraId="40EA9AA3" w14:textId="77777777" w:rsidTr="00762B2C">
        <w:trPr>
          <w:trHeight w:val="435"/>
          <w:jc w:val="center"/>
        </w:trPr>
        <w:tc>
          <w:tcPr>
            <w:tcW w:w="8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8899" w14:textId="77777777" w:rsidR="008C1893" w:rsidRDefault="008C1893" w:rsidP="00762B2C">
            <w:pPr>
              <w:spacing w:line="360" w:lineRule="auto"/>
            </w:pPr>
            <w:r>
              <w:rPr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、数据中心规划设计与管理</w:t>
            </w:r>
          </w:p>
          <w:p w14:paraId="59321D70" w14:textId="77777777" w:rsidR="008C1893" w:rsidRPr="003166F6" w:rsidRDefault="008C1893" w:rsidP="0048634F">
            <w:pPr>
              <w:pStyle w:val="ab"/>
              <w:spacing w:line="360" w:lineRule="auto"/>
              <w:ind w:left="357" w:firstLineChars="41" w:firstLine="86"/>
              <w:rPr>
                <w:bCs/>
              </w:rPr>
            </w:pPr>
            <w:r w:rsidRPr="003166F6">
              <w:rPr>
                <w:rFonts w:hint="eastAsia"/>
                <w:bCs/>
              </w:rPr>
              <w:t>建设需求与规划</w:t>
            </w:r>
          </w:p>
          <w:p w14:paraId="66591D54" w14:textId="77777777" w:rsidR="006F705A" w:rsidRDefault="008C1893" w:rsidP="0048634F">
            <w:pPr>
              <w:pStyle w:val="ab"/>
              <w:spacing w:line="360" w:lineRule="auto"/>
              <w:ind w:left="357" w:firstLineChars="41" w:firstLine="86"/>
              <w:rPr>
                <w:bCs/>
              </w:rPr>
            </w:pPr>
            <w:r w:rsidRPr="003166F6">
              <w:rPr>
                <w:rFonts w:hint="eastAsia"/>
                <w:bCs/>
              </w:rPr>
              <w:t>设备布局与材料的选择</w:t>
            </w:r>
          </w:p>
          <w:p w14:paraId="06CF3EEA" w14:textId="2FD3AB23" w:rsidR="008C1893" w:rsidRPr="00FE42A9" w:rsidRDefault="008C1893" w:rsidP="0048634F">
            <w:pPr>
              <w:pStyle w:val="ab"/>
              <w:spacing w:line="360" w:lineRule="auto"/>
              <w:ind w:left="357" w:firstLineChars="41" w:firstLine="86"/>
              <w:rPr>
                <w:bCs/>
              </w:rPr>
            </w:pPr>
            <w:r w:rsidRPr="00FE42A9">
              <w:rPr>
                <w:rFonts w:hint="eastAsia"/>
                <w:bCs/>
              </w:rPr>
              <w:t>供配电系统设计</w:t>
            </w:r>
          </w:p>
          <w:p w14:paraId="57AD581F" w14:textId="77777777" w:rsidR="008C1893" w:rsidRPr="003166F6" w:rsidRDefault="008C1893" w:rsidP="0048634F">
            <w:pPr>
              <w:pStyle w:val="ab"/>
              <w:spacing w:line="360" w:lineRule="auto"/>
              <w:ind w:left="357" w:firstLineChars="41" w:firstLine="86"/>
              <w:rPr>
                <w:bCs/>
              </w:rPr>
            </w:pPr>
            <w:r w:rsidRPr="003166F6">
              <w:rPr>
                <w:rFonts w:hint="eastAsia"/>
                <w:bCs/>
              </w:rPr>
              <w:t>UPS</w:t>
            </w:r>
            <w:r w:rsidRPr="003166F6">
              <w:rPr>
                <w:rFonts w:hint="eastAsia"/>
                <w:bCs/>
              </w:rPr>
              <w:t>的容量选择与防雷接地</w:t>
            </w:r>
          </w:p>
          <w:p w14:paraId="301A712F" w14:textId="77777777" w:rsidR="008C1893" w:rsidRPr="003166F6" w:rsidRDefault="008C1893" w:rsidP="0048634F">
            <w:pPr>
              <w:pStyle w:val="ab"/>
              <w:spacing w:line="360" w:lineRule="auto"/>
              <w:ind w:left="357" w:firstLineChars="41" w:firstLine="86"/>
              <w:rPr>
                <w:bCs/>
              </w:rPr>
            </w:pPr>
            <w:r w:rsidRPr="003166F6">
              <w:rPr>
                <w:rFonts w:hint="eastAsia"/>
                <w:bCs/>
              </w:rPr>
              <w:t>空调新风系统的设计</w:t>
            </w:r>
          </w:p>
          <w:p w14:paraId="0174DC57" w14:textId="77777777" w:rsidR="008C1893" w:rsidRPr="003166F6" w:rsidRDefault="008C1893" w:rsidP="0048634F">
            <w:pPr>
              <w:pStyle w:val="ab"/>
              <w:spacing w:line="360" w:lineRule="auto"/>
              <w:ind w:left="357" w:firstLineChars="41" w:firstLine="86"/>
              <w:rPr>
                <w:bCs/>
              </w:rPr>
            </w:pPr>
            <w:r w:rsidRPr="003166F6">
              <w:rPr>
                <w:rFonts w:hint="eastAsia"/>
                <w:bCs/>
              </w:rPr>
              <w:t>热负荷的特征及估算</w:t>
            </w:r>
          </w:p>
          <w:p w14:paraId="7B3594EC" w14:textId="77777777" w:rsidR="008C1893" w:rsidRPr="003166F6" w:rsidRDefault="008C1893" w:rsidP="0048634F">
            <w:pPr>
              <w:pStyle w:val="ab"/>
              <w:spacing w:line="360" w:lineRule="auto"/>
              <w:ind w:left="357" w:firstLineChars="41" w:firstLine="86"/>
              <w:rPr>
                <w:bCs/>
              </w:rPr>
            </w:pPr>
            <w:r w:rsidRPr="003166F6">
              <w:rPr>
                <w:rFonts w:hint="eastAsia"/>
                <w:bCs/>
              </w:rPr>
              <w:t>气流组织</w:t>
            </w:r>
          </w:p>
          <w:p w14:paraId="519F1F17" w14:textId="77777777" w:rsidR="008C1893" w:rsidRPr="003166F6" w:rsidRDefault="008C1893" w:rsidP="0048634F">
            <w:pPr>
              <w:spacing w:line="360" w:lineRule="auto"/>
              <w:ind w:left="357" w:firstLineChars="41" w:firstLine="86"/>
              <w:rPr>
                <w:bCs/>
              </w:rPr>
            </w:pPr>
            <w:r w:rsidRPr="003166F6">
              <w:rPr>
                <w:rFonts w:hint="eastAsia"/>
                <w:bCs/>
              </w:rPr>
              <w:t>消防系统</w:t>
            </w:r>
          </w:p>
          <w:p w14:paraId="46DAA964" w14:textId="77777777" w:rsidR="006F705A" w:rsidRDefault="008C1893" w:rsidP="0048634F">
            <w:pPr>
              <w:spacing w:line="360" w:lineRule="auto"/>
              <w:ind w:left="357" w:firstLineChars="41" w:firstLine="86"/>
              <w:rPr>
                <w:bCs/>
              </w:rPr>
            </w:pPr>
            <w:r w:rsidRPr="003166F6">
              <w:rPr>
                <w:rFonts w:hint="eastAsia"/>
                <w:bCs/>
              </w:rPr>
              <w:t>布线系统</w:t>
            </w:r>
          </w:p>
          <w:p w14:paraId="0D2E366D" w14:textId="38B65B55" w:rsidR="008C1893" w:rsidRPr="006F705A" w:rsidRDefault="008C1893" w:rsidP="0048634F">
            <w:pPr>
              <w:spacing w:line="360" w:lineRule="auto"/>
              <w:ind w:left="357" w:firstLineChars="41" w:firstLine="86"/>
              <w:rPr>
                <w:bCs/>
              </w:rPr>
            </w:pPr>
            <w:r w:rsidRPr="003166F6">
              <w:rPr>
                <w:rFonts w:hint="eastAsia"/>
                <w:bCs/>
              </w:rPr>
              <w:t>综合监控系统</w:t>
            </w:r>
            <w:r>
              <w:rPr>
                <w:rFonts w:asciiTheme="majorHAnsi"/>
              </w:rPr>
              <w:t>             </w:t>
            </w:r>
            <w:r>
              <w:rPr>
                <w:rFonts w:asciiTheme="majorHAnsi"/>
              </w:rPr>
              <w:t xml:space="preserve"> </w:t>
            </w:r>
            <w:r>
              <w:rPr>
                <w:rFonts w:asciiTheme="majorHAnsi"/>
              </w:rPr>
              <w:t>  </w:t>
            </w:r>
            <w:r>
              <w:rPr>
                <w:rFonts w:asciiTheme="majorHAnsi" w:hint="eastAsia"/>
              </w:rPr>
              <w:t>                  </w:t>
            </w:r>
          </w:p>
        </w:tc>
      </w:tr>
      <w:tr w:rsidR="008C1893" w14:paraId="51FC9DC2" w14:textId="77777777" w:rsidTr="00762B2C">
        <w:trPr>
          <w:trHeight w:val="495"/>
          <w:jc w:val="center"/>
        </w:trPr>
        <w:tc>
          <w:tcPr>
            <w:tcW w:w="8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2B0C" w14:textId="77777777" w:rsidR="008C1893" w:rsidRPr="00FE42A9" w:rsidRDefault="008C1893" w:rsidP="00762B2C">
            <w:pPr>
              <w:spacing w:line="276" w:lineRule="auto"/>
              <w:rPr>
                <w:rFonts w:asciiTheme="majorHAnsi"/>
              </w:rPr>
            </w:pPr>
            <w:r>
              <w:rPr>
                <w:b/>
                <w:bCs/>
              </w:rPr>
              <w:t>6</w:t>
            </w:r>
            <w:r w:rsidRPr="00FE42A9">
              <w:rPr>
                <w:rFonts w:hint="eastAsia"/>
                <w:b/>
                <w:bCs/>
              </w:rPr>
              <w:t>、</w:t>
            </w:r>
            <w:r w:rsidRPr="00FE42A9">
              <w:rPr>
                <w:rFonts w:asciiTheme="majorHAnsi" w:hint="eastAsia"/>
                <w:b/>
              </w:rPr>
              <w:t>数据中心施工</w:t>
            </w:r>
            <w:r>
              <w:rPr>
                <w:rFonts w:asciiTheme="majorHAnsi" w:hint="eastAsia"/>
                <w:b/>
              </w:rPr>
              <w:t>验收</w:t>
            </w:r>
            <w:r w:rsidRPr="00FE42A9">
              <w:rPr>
                <w:rFonts w:asciiTheme="majorHAnsi" w:hint="eastAsia"/>
                <w:b/>
              </w:rPr>
              <w:t>与</w:t>
            </w:r>
            <w:r>
              <w:rPr>
                <w:rFonts w:asciiTheme="majorHAnsi" w:hint="eastAsia"/>
                <w:b/>
              </w:rPr>
              <w:t>管理</w:t>
            </w:r>
          </w:p>
          <w:p w14:paraId="0FEF17F2" w14:textId="65B2F49B" w:rsidR="008C1893" w:rsidRDefault="008C1893" w:rsidP="006F705A">
            <w:pPr>
              <w:spacing w:line="360" w:lineRule="auto"/>
              <w:ind w:firstLineChars="212" w:firstLine="445"/>
              <w:jc w:val="left"/>
            </w:pPr>
            <w:r>
              <w:rPr>
                <w:rFonts w:hint="eastAsia"/>
              </w:rPr>
              <w:lastRenderedPageBreak/>
              <w:t>数据中心建设项目各方</w:t>
            </w:r>
          </w:p>
          <w:p w14:paraId="62765550" w14:textId="77777777" w:rsidR="008C1893" w:rsidRDefault="008C1893" w:rsidP="006F705A">
            <w:pPr>
              <w:spacing w:line="360" w:lineRule="auto"/>
              <w:ind w:firstLineChars="212" w:firstLine="445"/>
              <w:jc w:val="left"/>
            </w:pPr>
            <w:r>
              <w:rPr>
                <w:rFonts w:hint="eastAsia"/>
              </w:rPr>
              <w:t>进场要求及实施阶段的工程管理</w:t>
            </w:r>
          </w:p>
          <w:p w14:paraId="622D9221" w14:textId="77777777" w:rsidR="006F705A" w:rsidRDefault="008C1893" w:rsidP="006F705A">
            <w:pPr>
              <w:spacing w:line="360" w:lineRule="auto"/>
              <w:ind w:firstLineChars="212" w:firstLine="445"/>
              <w:jc w:val="left"/>
            </w:pPr>
            <w:r>
              <w:rPr>
                <w:rFonts w:hint="eastAsia"/>
              </w:rPr>
              <w:t>常用的工程管理模式</w:t>
            </w:r>
          </w:p>
          <w:p w14:paraId="3C57AB6C" w14:textId="3B9BC6FC" w:rsidR="008C1893" w:rsidRDefault="008C1893" w:rsidP="006F705A">
            <w:pPr>
              <w:spacing w:line="360" w:lineRule="auto"/>
              <w:ind w:firstLineChars="212" w:firstLine="445"/>
              <w:jc w:val="left"/>
            </w:pPr>
            <w:r>
              <w:rPr>
                <w:rFonts w:hint="eastAsia"/>
              </w:rPr>
              <w:t>招投标管理</w:t>
            </w:r>
          </w:p>
          <w:p w14:paraId="0A582BF9" w14:textId="77777777" w:rsidR="008C1893" w:rsidRDefault="008C1893" w:rsidP="006F705A">
            <w:pPr>
              <w:spacing w:line="360" w:lineRule="auto"/>
              <w:ind w:firstLineChars="212" w:firstLine="445"/>
              <w:jc w:val="left"/>
            </w:pPr>
            <w:r>
              <w:rPr>
                <w:rFonts w:hint="eastAsia"/>
              </w:rPr>
              <w:t>工程变更管理</w:t>
            </w:r>
          </w:p>
          <w:p w14:paraId="739BABD9" w14:textId="77777777" w:rsidR="008C1893" w:rsidRDefault="008C1893" w:rsidP="006F705A">
            <w:pPr>
              <w:spacing w:line="360" w:lineRule="auto"/>
              <w:ind w:firstLineChars="212" w:firstLine="445"/>
              <w:jc w:val="left"/>
            </w:pPr>
            <w:r>
              <w:rPr>
                <w:rFonts w:hint="eastAsia"/>
              </w:rPr>
              <w:t>造价管理</w:t>
            </w:r>
          </w:p>
          <w:p w14:paraId="361C8D1B" w14:textId="77777777" w:rsidR="008C1893" w:rsidRDefault="008C1893" w:rsidP="006F705A">
            <w:pPr>
              <w:spacing w:line="360" w:lineRule="auto"/>
              <w:ind w:firstLineChars="212" w:firstLine="445"/>
              <w:jc w:val="left"/>
            </w:pPr>
            <w:r>
              <w:rPr>
                <w:rFonts w:hint="eastAsia"/>
              </w:rPr>
              <w:t>质量控制</w:t>
            </w:r>
          </w:p>
          <w:p w14:paraId="005E2698" w14:textId="77777777" w:rsidR="008C1893" w:rsidRDefault="008C1893" w:rsidP="006F705A">
            <w:pPr>
              <w:spacing w:line="360" w:lineRule="auto"/>
              <w:ind w:firstLineChars="212" w:firstLine="445"/>
              <w:jc w:val="left"/>
            </w:pPr>
            <w:r>
              <w:rPr>
                <w:rFonts w:hint="eastAsia"/>
              </w:rPr>
              <w:t>图纸会审要点</w:t>
            </w:r>
          </w:p>
          <w:p w14:paraId="36FB4A45" w14:textId="77777777" w:rsidR="008C1893" w:rsidRDefault="008C1893" w:rsidP="006F705A">
            <w:pPr>
              <w:spacing w:line="360" w:lineRule="auto"/>
              <w:ind w:firstLineChars="212" w:firstLine="445"/>
              <w:jc w:val="left"/>
            </w:pPr>
            <w:r>
              <w:rPr>
                <w:rFonts w:hint="eastAsia"/>
              </w:rPr>
              <w:t>验收与评估要点</w:t>
            </w:r>
          </w:p>
          <w:p w14:paraId="615D039F" w14:textId="77777777" w:rsidR="008C1893" w:rsidRDefault="008C1893" w:rsidP="006F705A">
            <w:pPr>
              <w:spacing w:line="360" w:lineRule="auto"/>
              <w:ind w:firstLineChars="212" w:firstLine="445"/>
              <w:jc w:val="left"/>
            </w:pPr>
            <w:r>
              <w:rPr>
                <w:rFonts w:hint="eastAsia"/>
              </w:rPr>
              <w:t>进度控制</w:t>
            </w:r>
          </w:p>
          <w:p w14:paraId="4860C8B9" w14:textId="77777777" w:rsidR="008C1893" w:rsidRDefault="008C1893" w:rsidP="006F705A">
            <w:pPr>
              <w:spacing w:line="360" w:lineRule="auto"/>
              <w:ind w:firstLineChars="212" w:firstLine="445"/>
              <w:jc w:val="left"/>
            </w:pPr>
            <w:r>
              <w:rPr>
                <w:rFonts w:hint="eastAsia"/>
              </w:rPr>
              <w:t>资料管理</w:t>
            </w:r>
          </w:p>
          <w:p w14:paraId="44013281" w14:textId="77777777" w:rsidR="008C1893" w:rsidRDefault="008C1893" w:rsidP="006F705A">
            <w:pPr>
              <w:tabs>
                <w:tab w:val="left" w:pos="10080"/>
              </w:tabs>
              <w:adjustRightInd w:val="0"/>
              <w:snapToGrid w:val="0"/>
              <w:spacing w:line="400" w:lineRule="exact"/>
              <w:ind w:rightChars="-39" w:right="-82" w:firstLineChars="212" w:firstLine="445"/>
            </w:pPr>
            <w:r w:rsidRPr="00634730">
              <w:rPr>
                <w:rFonts w:hint="eastAsia"/>
              </w:rPr>
              <w:t>GB50462-2015</w:t>
            </w:r>
            <w:r w:rsidRPr="00634730">
              <w:t xml:space="preserve"> </w:t>
            </w:r>
            <w:r>
              <w:rPr>
                <w:rFonts w:hint="eastAsia"/>
              </w:rPr>
              <w:t>中的强制款项简介</w:t>
            </w:r>
          </w:p>
          <w:p w14:paraId="7CFB5BC5" w14:textId="77777777" w:rsidR="008C1893" w:rsidRPr="009A45F1" w:rsidRDefault="008C1893" w:rsidP="006F705A">
            <w:pPr>
              <w:tabs>
                <w:tab w:val="left" w:pos="10080"/>
              </w:tabs>
              <w:adjustRightInd w:val="0"/>
              <w:snapToGrid w:val="0"/>
              <w:spacing w:afterLines="30" w:after="93" w:line="400" w:lineRule="exact"/>
              <w:ind w:rightChars="-39" w:right="-82" w:firstLineChars="212" w:firstLine="445"/>
            </w:pPr>
            <w:r>
              <w:rPr>
                <w:rFonts w:hint="eastAsia"/>
              </w:rPr>
              <w:t>数据中心建设过程对运维的影响</w:t>
            </w:r>
          </w:p>
        </w:tc>
      </w:tr>
      <w:tr w:rsidR="008C1893" w14:paraId="1F7EFB7F" w14:textId="77777777" w:rsidTr="00762B2C">
        <w:trPr>
          <w:trHeight w:val="495"/>
          <w:jc w:val="center"/>
        </w:trPr>
        <w:tc>
          <w:tcPr>
            <w:tcW w:w="8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0BCB" w14:textId="77777777" w:rsidR="008C1893" w:rsidRDefault="008C1893" w:rsidP="00762B2C"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  <w:r>
              <w:rPr>
                <w:rFonts w:hint="eastAsia"/>
                <w:b/>
                <w:bCs/>
              </w:rPr>
              <w:t>、创建低碳绿色数据中心</w:t>
            </w:r>
          </w:p>
          <w:p w14:paraId="37FA4F4D" w14:textId="77777777" w:rsidR="008C1893" w:rsidRDefault="008C1893" w:rsidP="006F705A">
            <w:pPr>
              <w:spacing w:line="276" w:lineRule="auto"/>
              <w:ind w:firstLineChars="212" w:firstLine="445"/>
              <w:rPr>
                <w:bCs/>
              </w:rPr>
            </w:pPr>
            <w:r w:rsidRPr="003166F6">
              <w:rPr>
                <w:rFonts w:hint="eastAsia"/>
                <w:bCs/>
              </w:rPr>
              <w:t>绿色数据中心定义</w:t>
            </w:r>
          </w:p>
          <w:p w14:paraId="18C10DAC" w14:textId="77777777" w:rsidR="008C1893" w:rsidRPr="00634730" w:rsidRDefault="008C1893" w:rsidP="006F705A">
            <w:pPr>
              <w:tabs>
                <w:tab w:val="left" w:pos="10080"/>
              </w:tabs>
              <w:adjustRightInd w:val="0"/>
              <w:snapToGrid w:val="0"/>
              <w:spacing w:line="400" w:lineRule="exact"/>
              <w:ind w:rightChars="-39" w:right="-82" w:firstLineChars="212" w:firstLine="445"/>
            </w:pPr>
            <w:r>
              <w:rPr>
                <w:rFonts w:hint="eastAsia"/>
                <w:bCs/>
              </w:rPr>
              <w:t>创建绿色数据中心的要点</w:t>
            </w:r>
          </w:p>
          <w:p w14:paraId="41364B03" w14:textId="77777777" w:rsidR="008C1893" w:rsidRDefault="008C1893" w:rsidP="006F705A">
            <w:pPr>
              <w:spacing w:line="360" w:lineRule="auto"/>
              <w:ind w:firstLineChars="212" w:firstLine="445"/>
              <w:rPr>
                <w:bCs/>
              </w:rPr>
            </w:pPr>
            <w:r>
              <w:rPr>
                <w:rFonts w:hint="eastAsia"/>
                <w:bCs/>
              </w:rPr>
              <w:t>国家绿色节能技术和产品介绍</w:t>
            </w:r>
          </w:p>
          <w:p w14:paraId="5AE88F86" w14:textId="77777777" w:rsidR="008C1893" w:rsidRDefault="008C1893" w:rsidP="006F705A">
            <w:pPr>
              <w:spacing w:line="360" w:lineRule="auto"/>
              <w:ind w:firstLineChars="212" w:firstLine="445"/>
              <w:rPr>
                <w:bCs/>
              </w:rPr>
            </w:pPr>
            <w:r>
              <w:rPr>
                <w:rFonts w:hint="eastAsia"/>
                <w:bCs/>
              </w:rPr>
              <w:t>国家绿色数据中心评选介绍</w:t>
            </w:r>
          </w:p>
          <w:p w14:paraId="26D6F4ED" w14:textId="77777777" w:rsidR="008C1893" w:rsidRPr="00BC6A20" w:rsidRDefault="008C1893" w:rsidP="006F705A">
            <w:pPr>
              <w:spacing w:line="360" w:lineRule="auto"/>
              <w:ind w:firstLineChars="212" w:firstLine="445"/>
              <w:rPr>
                <w:bCs/>
              </w:rPr>
            </w:pPr>
            <w:r>
              <w:rPr>
                <w:rFonts w:hint="eastAsia"/>
                <w:bCs/>
              </w:rPr>
              <w:t>低碳数据中心探讨</w:t>
            </w:r>
          </w:p>
        </w:tc>
      </w:tr>
      <w:tr w:rsidR="008C1893" w14:paraId="6B63AFB6" w14:textId="77777777" w:rsidTr="00762B2C">
        <w:trPr>
          <w:trHeight w:val="495"/>
          <w:jc w:val="center"/>
        </w:trPr>
        <w:tc>
          <w:tcPr>
            <w:tcW w:w="8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F0FB" w14:textId="77777777" w:rsidR="008C1893" w:rsidRDefault="008C1893" w:rsidP="00762B2C"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、在线考试</w:t>
            </w:r>
          </w:p>
        </w:tc>
      </w:tr>
    </w:tbl>
    <w:p w14:paraId="6A58D3D9" w14:textId="77777777" w:rsidR="008C1893" w:rsidRDefault="008C1893" w:rsidP="008C1893"/>
    <w:p w14:paraId="53ED91F8" w14:textId="344DEE4F" w:rsidR="00A16B30" w:rsidRPr="00D82550" w:rsidRDefault="00F22CCE" w:rsidP="00D82550">
      <w:pPr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 xml:space="preserve">               </w:t>
      </w:r>
    </w:p>
    <w:sectPr w:rsidR="00A16B30" w:rsidRPr="00D82550" w:rsidSect="0008420E">
      <w:headerReference w:type="default" r:id="rId9"/>
      <w:pgSz w:w="11906" w:h="16838"/>
      <w:pgMar w:top="737" w:right="1021" w:bottom="822" w:left="1021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741B" w14:textId="77777777" w:rsidR="00490628" w:rsidRDefault="00490628">
      <w:r>
        <w:separator/>
      </w:r>
    </w:p>
  </w:endnote>
  <w:endnote w:type="continuationSeparator" w:id="0">
    <w:p w14:paraId="496285FA" w14:textId="77777777" w:rsidR="00490628" w:rsidRDefault="0049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81B0" w14:textId="77777777" w:rsidR="00490628" w:rsidRDefault="00490628">
      <w:r>
        <w:separator/>
      </w:r>
    </w:p>
  </w:footnote>
  <w:footnote w:type="continuationSeparator" w:id="0">
    <w:p w14:paraId="13F9AE71" w14:textId="77777777" w:rsidR="00490628" w:rsidRDefault="00490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3738" w14:textId="649ABD80" w:rsidR="0008420E" w:rsidRDefault="0008420E" w:rsidP="0008420E">
    <w:pPr>
      <w:pStyle w:val="a7"/>
      <w:ind w:firstLineChars="100" w:firstLine="180"/>
      <w:jc w:val="both"/>
      <w:rPr>
        <w:rFonts w:ascii="微软雅黑" w:eastAsia="微软雅黑" w:hAnsi="微软雅黑" w:cs="微软雅黑"/>
        <w:noProof/>
        <w:color w:val="262626" w:themeColor="text1" w:themeTint="D9"/>
        <w:kern w:val="24"/>
      </w:rPr>
    </w:pPr>
    <w:r>
      <w:rPr>
        <w:rFonts w:ascii="微软雅黑" w:eastAsia="微软雅黑" w:hAnsi="微软雅黑" w:cs="微软雅黑" w:hint="eastAsia"/>
        <w:noProof/>
        <w:color w:val="262626" w:themeColor="text1" w:themeTint="D9"/>
        <w:kern w:val="24"/>
      </w:rPr>
      <w:drawing>
        <wp:anchor distT="0" distB="0" distL="114300" distR="114300" simplePos="0" relativeHeight="251659264" behindDoc="0" locked="0" layoutInCell="1" allowOverlap="1" wp14:anchorId="6D516FD4" wp14:editId="2F20E899">
          <wp:simplePos x="0" y="0"/>
          <wp:positionH relativeFrom="column">
            <wp:posOffset>5390000</wp:posOffset>
          </wp:positionH>
          <wp:positionV relativeFrom="paragraph">
            <wp:posOffset>136611</wp:posOffset>
          </wp:positionV>
          <wp:extent cx="764026" cy="273043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26" cy="273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7C495" w14:textId="0C744C2B" w:rsidR="006F122B" w:rsidRDefault="00DA6853" w:rsidP="0008420E">
    <w:pPr>
      <w:pStyle w:val="a7"/>
      <w:ind w:firstLineChars="100" w:firstLine="180"/>
      <w:jc w:val="both"/>
      <w:rPr>
        <w:szCs w:val="21"/>
      </w:rPr>
    </w:pPr>
    <w:r w:rsidRPr="00566ED1">
      <w:rPr>
        <w:rFonts w:ascii="华文行楷" w:eastAsia="华文行楷" w:hAnsi="华文行楷" w:cs="华文行楷"/>
        <w:noProof/>
        <w:color w:val="262626" w:themeColor="text1" w:themeTint="D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B970A" wp14:editId="241C61EC">
              <wp:simplePos x="0" y="0"/>
              <wp:positionH relativeFrom="page">
                <wp:posOffset>0</wp:posOffset>
              </wp:positionH>
              <wp:positionV relativeFrom="paragraph">
                <wp:posOffset>215265</wp:posOffset>
              </wp:positionV>
              <wp:extent cx="8122285" cy="0"/>
              <wp:effectExtent l="0" t="19050" r="31115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12228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70C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1B54A3" id="Line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16.95pt" to="639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" strokecolor="#0070c0" strokeweight="3pt">
              <v:stroke joinstyle="miter"/>
              <w10:wrap anchorx="page"/>
            </v:line>
          </w:pict>
        </mc:Fallback>
      </mc:AlternateContent>
    </w:r>
    <w:r w:rsidR="00EE0120" w:rsidRPr="00566ED1">
      <w:rPr>
        <w:rFonts w:ascii="微软雅黑" w:eastAsia="微软雅黑" w:hAnsi="微软雅黑" w:cs="微软雅黑" w:hint="eastAsia"/>
        <w:color w:val="262626" w:themeColor="text1" w:themeTint="D9"/>
        <w:kern w:val="24"/>
      </w:rPr>
      <w:t>www.dcrencai.org.cn</w:t>
    </w:r>
    <w:r w:rsidR="006F122B" w:rsidRPr="00566ED1">
      <w:rPr>
        <w:rFonts w:ascii="微软雅黑" w:eastAsia="微软雅黑" w:hAnsi="微软雅黑" w:cs="微软雅黑" w:hint="eastAsia"/>
        <w:color w:val="262626" w:themeColor="text1" w:themeTint="D9"/>
        <w:kern w:val="24"/>
      </w:rPr>
      <w:t xml:space="preserve"> </w:t>
    </w:r>
    <w:r w:rsidR="006F122B" w:rsidRPr="00566ED1">
      <w:rPr>
        <w:rFonts w:ascii="微软雅黑" w:eastAsia="微软雅黑" w:hAnsi="微软雅黑" w:cs="微软雅黑" w:hint="eastAsia"/>
        <w:color w:val="000000" w:themeColor="text1"/>
        <w:kern w:val="24"/>
      </w:rPr>
      <w:t xml:space="preserve">  </w:t>
    </w:r>
    <w:r w:rsidR="006F122B" w:rsidRPr="00EE0120">
      <w:rPr>
        <w:rFonts w:ascii="微软雅黑" w:eastAsia="微软雅黑" w:hAnsi="微软雅黑" w:cs="微软雅黑" w:hint="eastAsia"/>
        <w:color w:val="000000" w:themeColor="text1"/>
        <w:kern w:val="24"/>
        <w:sz w:val="21"/>
        <w:szCs w:val="21"/>
      </w:rPr>
      <w:t xml:space="preserve">  </w:t>
    </w:r>
    <w:r w:rsidR="006F122B">
      <w:rPr>
        <w:rFonts w:ascii="微软雅黑" w:eastAsia="微软雅黑" w:hAnsi="微软雅黑" w:cs="微软雅黑" w:hint="eastAsia"/>
        <w:b/>
        <w:bCs/>
        <w:color w:val="000000" w:themeColor="text1"/>
        <w:kern w:val="24"/>
        <w:sz w:val="21"/>
        <w:szCs w:val="21"/>
      </w:rPr>
      <w:t xml:space="preserve">                             </w:t>
    </w:r>
    <w:r w:rsidR="00566ED1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</w:t>
    </w:r>
    <w:r w:rsidR="00BF75DC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</w:t>
    </w:r>
    <w:r w:rsidR="00566ED1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</w:t>
    </w:r>
    <w:r w:rsidR="00BF75DC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             </w:t>
    </w:r>
    <w:r w:rsidR="0008420E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 </w:t>
    </w:r>
    <w:r w:rsidR="006F122B">
      <w:rPr>
        <w:rFonts w:ascii="微软雅黑" w:eastAsia="微软雅黑" w:hAnsi="微软雅黑" w:cs="微软雅黑" w:hint="eastAsia"/>
        <w:b/>
        <w:bCs/>
        <w:color w:val="000000" w:themeColor="text1"/>
        <w:kern w:val="24"/>
        <w:sz w:val="21"/>
        <w:szCs w:val="21"/>
      </w:rPr>
      <w:t xml:space="preserve">          </w:t>
    </w:r>
    <w:r w:rsidR="006F122B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</w:t>
    </w:r>
    <w:r w:rsidR="00EE0120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          </w:t>
    </w:r>
    <w:r w:rsidR="006F122B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</w:t>
    </w:r>
  </w:p>
  <w:p w14:paraId="0A18F298" w14:textId="000378B9" w:rsidR="00AF4E18" w:rsidRDefault="00656D7B" w:rsidP="00566ED1">
    <w:pPr>
      <w:pStyle w:val="a7"/>
      <w:pBdr>
        <w:bottom w:val="none" w:sz="0" w:space="0" w:color="auto"/>
      </w:pBdr>
      <w:jc w:val="both"/>
    </w:pPr>
    <w:r>
      <w:rPr>
        <w:rFonts w:hint="eastAsia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AB9EAF"/>
    <w:multiLevelType w:val="singleLevel"/>
    <w:tmpl w:val="89AB9EAF"/>
    <w:lvl w:ilvl="0">
      <w:start w:val="10"/>
      <w:numFmt w:val="decimal"/>
      <w:suff w:val="nothing"/>
      <w:lvlText w:val="%1、"/>
      <w:lvlJc w:val="left"/>
    </w:lvl>
  </w:abstractNum>
  <w:abstractNum w:abstractNumId="1" w15:restartNumberingAfterBreak="0">
    <w:nsid w:val="10164E68"/>
    <w:multiLevelType w:val="hybridMultilevel"/>
    <w:tmpl w:val="2200A8FE"/>
    <w:lvl w:ilvl="0" w:tplc="FEB86500">
      <w:start w:val="6"/>
      <w:numFmt w:val="decimal"/>
      <w:lvlText w:val="%1、"/>
      <w:lvlJc w:val="left"/>
      <w:pPr>
        <w:ind w:left="360" w:hanging="360"/>
      </w:pPr>
      <w:rPr>
        <w:rFonts w:cs="GillSans-Light" w:hint="default"/>
        <w:b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57067D"/>
    <w:multiLevelType w:val="hybridMultilevel"/>
    <w:tmpl w:val="5142EAF0"/>
    <w:lvl w:ilvl="0" w:tplc="7C10F1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C63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A6F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E5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A17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8D4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8C0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E1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C53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C1A9"/>
    <w:multiLevelType w:val="singleLevel"/>
    <w:tmpl w:val="28C5C1A9"/>
    <w:lvl w:ilvl="0">
      <w:start w:val="6"/>
      <w:numFmt w:val="decimal"/>
      <w:suff w:val="nothing"/>
      <w:lvlText w:val="%1、"/>
      <w:lvlJc w:val="left"/>
    </w:lvl>
  </w:abstractNum>
  <w:abstractNum w:abstractNumId="4" w15:restartNumberingAfterBreak="0">
    <w:nsid w:val="4A8C14DA"/>
    <w:multiLevelType w:val="hybridMultilevel"/>
    <w:tmpl w:val="6A386242"/>
    <w:lvl w:ilvl="0" w:tplc="FCA024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6B7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D69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430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01C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0D1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A54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A80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620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51B90"/>
    <w:multiLevelType w:val="hybridMultilevel"/>
    <w:tmpl w:val="7098E852"/>
    <w:lvl w:ilvl="0" w:tplc="00168F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5763186"/>
    <w:multiLevelType w:val="multilevel"/>
    <w:tmpl w:val="65763186"/>
    <w:lvl w:ilvl="0">
      <w:start w:val="1"/>
      <w:numFmt w:val="decimal"/>
      <w:lvlText w:val="%1"/>
      <w:lvlJc w:val="left"/>
      <w:pPr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7" w15:restartNumberingAfterBreak="0">
    <w:nsid w:val="74D57281"/>
    <w:multiLevelType w:val="hybridMultilevel"/>
    <w:tmpl w:val="0E808C8A"/>
    <w:lvl w:ilvl="0" w:tplc="FE36FA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46A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74B3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0D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EC4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2E1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627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6C7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EA6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31A3F"/>
    <w:multiLevelType w:val="hybridMultilevel"/>
    <w:tmpl w:val="E9586CA8"/>
    <w:lvl w:ilvl="0" w:tplc="8766F678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03974581">
    <w:abstractNumId w:val="3"/>
  </w:num>
  <w:num w:numId="2" w16cid:durableId="1972321452">
    <w:abstractNumId w:val="0"/>
  </w:num>
  <w:num w:numId="3" w16cid:durableId="2069723899">
    <w:abstractNumId w:val="4"/>
  </w:num>
  <w:num w:numId="4" w16cid:durableId="849872554">
    <w:abstractNumId w:val="8"/>
  </w:num>
  <w:num w:numId="5" w16cid:durableId="931360396">
    <w:abstractNumId w:val="7"/>
  </w:num>
  <w:num w:numId="6" w16cid:durableId="1075782943">
    <w:abstractNumId w:val="2"/>
  </w:num>
  <w:num w:numId="7" w16cid:durableId="1598366303">
    <w:abstractNumId w:val="1"/>
  </w:num>
  <w:num w:numId="8" w16cid:durableId="860823555">
    <w:abstractNumId w:val="6"/>
  </w:num>
  <w:num w:numId="9" w16cid:durableId="1047559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24"/>
    <w:rsid w:val="00013F40"/>
    <w:rsid w:val="00014A37"/>
    <w:rsid w:val="00022BA8"/>
    <w:rsid w:val="000264B6"/>
    <w:rsid w:val="00033E14"/>
    <w:rsid w:val="000342BD"/>
    <w:rsid w:val="00050FAF"/>
    <w:rsid w:val="000517B4"/>
    <w:rsid w:val="00051924"/>
    <w:rsid w:val="00060669"/>
    <w:rsid w:val="00064748"/>
    <w:rsid w:val="000668D4"/>
    <w:rsid w:val="00067595"/>
    <w:rsid w:val="00071133"/>
    <w:rsid w:val="00072620"/>
    <w:rsid w:val="0008420E"/>
    <w:rsid w:val="00094DC2"/>
    <w:rsid w:val="000A5A13"/>
    <w:rsid w:val="000B1AAF"/>
    <w:rsid w:val="000D20AC"/>
    <w:rsid w:val="000D698E"/>
    <w:rsid w:val="000E3150"/>
    <w:rsid w:val="000F1137"/>
    <w:rsid w:val="000F34C9"/>
    <w:rsid w:val="000F4213"/>
    <w:rsid w:val="000F5E03"/>
    <w:rsid w:val="000F6839"/>
    <w:rsid w:val="00101AAB"/>
    <w:rsid w:val="00104C89"/>
    <w:rsid w:val="00123A71"/>
    <w:rsid w:val="001344F9"/>
    <w:rsid w:val="00142309"/>
    <w:rsid w:val="00160165"/>
    <w:rsid w:val="001641FD"/>
    <w:rsid w:val="0016677B"/>
    <w:rsid w:val="00167FE8"/>
    <w:rsid w:val="00176B84"/>
    <w:rsid w:val="001832A1"/>
    <w:rsid w:val="001A21BB"/>
    <w:rsid w:val="001A26A2"/>
    <w:rsid w:val="001A31B9"/>
    <w:rsid w:val="001A7020"/>
    <w:rsid w:val="001C1EBE"/>
    <w:rsid w:val="001C5C7F"/>
    <w:rsid w:val="001E77E2"/>
    <w:rsid w:val="001F3728"/>
    <w:rsid w:val="001F5CEA"/>
    <w:rsid w:val="00207D88"/>
    <w:rsid w:val="00221522"/>
    <w:rsid w:val="00233674"/>
    <w:rsid w:val="002439C1"/>
    <w:rsid w:val="00245D3D"/>
    <w:rsid w:val="00251E8F"/>
    <w:rsid w:val="0025789A"/>
    <w:rsid w:val="00257CE6"/>
    <w:rsid w:val="00266119"/>
    <w:rsid w:val="0026655E"/>
    <w:rsid w:val="002759AD"/>
    <w:rsid w:val="002800D9"/>
    <w:rsid w:val="002813DA"/>
    <w:rsid w:val="00281818"/>
    <w:rsid w:val="002A4547"/>
    <w:rsid w:val="002A5812"/>
    <w:rsid w:val="002C4259"/>
    <w:rsid w:val="002D4504"/>
    <w:rsid w:val="002E78A4"/>
    <w:rsid w:val="002F0280"/>
    <w:rsid w:val="002F0E10"/>
    <w:rsid w:val="0030261B"/>
    <w:rsid w:val="003126BF"/>
    <w:rsid w:val="0032433F"/>
    <w:rsid w:val="0032534A"/>
    <w:rsid w:val="00325953"/>
    <w:rsid w:val="00340CE0"/>
    <w:rsid w:val="00346BE7"/>
    <w:rsid w:val="003475E6"/>
    <w:rsid w:val="00352EA0"/>
    <w:rsid w:val="003608AA"/>
    <w:rsid w:val="0037002D"/>
    <w:rsid w:val="00370659"/>
    <w:rsid w:val="00371CEB"/>
    <w:rsid w:val="00377AA5"/>
    <w:rsid w:val="0038033C"/>
    <w:rsid w:val="003902A1"/>
    <w:rsid w:val="003A4339"/>
    <w:rsid w:val="003A5D87"/>
    <w:rsid w:val="003A5DE2"/>
    <w:rsid w:val="003B5B67"/>
    <w:rsid w:val="003C748E"/>
    <w:rsid w:val="003D7BDF"/>
    <w:rsid w:val="003E184F"/>
    <w:rsid w:val="003F0810"/>
    <w:rsid w:val="004078A3"/>
    <w:rsid w:val="00412526"/>
    <w:rsid w:val="004128FC"/>
    <w:rsid w:val="00414436"/>
    <w:rsid w:val="00423D12"/>
    <w:rsid w:val="00442C76"/>
    <w:rsid w:val="00464117"/>
    <w:rsid w:val="00465566"/>
    <w:rsid w:val="00482926"/>
    <w:rsid w:val="0048634F"/>
    <w:rsid w:val="00490628"/>
    <w:rsid w:val="00491DC7"/>
    <w:rsid w:val="004A1411"/>
    <w:rsid w:val="004A24E4"/>
    <w:rsid w:val="004A3495"/>
    <w:rsid w:val="004A3C7A"/>
    <w:rsid w:val="004A7789"/>
    <w:rsid w:val="004B46DF"/>
    <w:rsid w:val="004C23A5"/>
    <w:rsid w:val="004C62D8"/>
    <w:rsid w:val="004D200E"/>
    <w:rsid w:val="004E2A41"/>
    <w:rsid w:val="004E3E5E"/>
    <w:rsid w:val="004F6E17"/>
    <w:rsid w:val="005069C8"/>
    <w:rsid w:val="00512775"/>
    <w:rsid w:val="0053245C"/>
    <w:rsid w:val="00541616"/>
    <w:rsid w:val="00545E9B"/>
    <w:rsid w:val="00552F7F"/>
    <w:rsid w:val="00566C97"/>
    <w:rsid w:val="00566ED1"/>
    <w:rsid w:val="00572243"/>
    <w:rsid w:val="00575BF4"/>
    <w:rsid w:val="00590AC5"/>
    <w:rsid w:val="00595B27"/>
    <w:rsid w:val="005A0056"/>
    <w:rsid w:val="005B3C6D"/>
    <w:rsid w:val="005B6CA3"/>
    <w:rsid w:val="005B7573"/>
    <w:rsid w:val="005C5297"/>
    <w:rsid w:val="005D2ABE"/>
    <w:rsid w:val="005D3414"/>
    <w:rsid w:val="005F5C53"/>
    <w:rsid w:val="005F6FEA"/>
    <w:rsid w:val="00604CB3"/>
    <w:rsid w:val="0061303C"/>
    <w:rsid w:val="00616413"/>
    <w:rsid w:val="00617A08"/>
    <w:rsid w:val="00621ABB"/>
    <w:rsid w:val="00622931"/>
    <w:rsid w:val="00646997"/>
    <w:rsid w:val="00647066"/>
    <w:rsid w:val="006475BC"/>
    <w:rsid w:val="00656D7B"/>
    <w:rsid w:val="00660950"/>
    <w:rsid w:val="0066106C"/>
    <w:rsid w:val="00662009"/>
    <w:rsid w:val="00662DB6"/>
    <w:rsid w:val="0067512D"/>
    <w:rsid w:val="00684EA5"/>
    <w:rsid w:val="006860C7"/>
    <w:rsid w:val="006A6BA8"/>
    <w:rsid w:val="006A6F6A"/>
    <w:rsid w:val="006B463C"/>
    <w:rsid w:val="006B4A31"/>
    <w:rsid w:val="006B6BFA"/>
    <w:rsid w:val="006B7FDA"/>
    <w:rsid w:val="006C0C8E"/>
    <w:rsid w:val="006C52AA"/>
    <w:rsid w:val="006C59AC"/>
    <w:rsid w:val="006D0C8C"/>
    <w:rsid w:val="006D4B82"/>
    <w:rsid w:val="006D6A0D"/>
    <w:rsid w:val="006E1A70"/>
    <w:rsid w:val="006F122B"/>
    <w:rsid w:val="006F5EFA"/>
    <w:rsid w:val="006F6E5F"/>
    <w:rsid w:val="006F705A"/>
    <w:rsid w:val="0070617C"/>
    <w:rsid w:val="00706E95"/>
    <w:rsid w:val="0076004D"/>
    <w:rsid w:val="00760E69"/>
    <w:rsid w:val="00763254"/>
    <w:rsid w:val="00777B49"/>
    <w:rsid w:val="007A016B"/>
    <w:rsid w:val="007A1C5B"/>
    <w:rsid w:val="007B4EC0"/>
    <w:rsid w:val="007B636D"/>
    <w:rsid w:val="007B762F"/>
    <w:rsid w:val="007C5BF4"/>
    <w:rsid w:val="007C7793"/>
    <w:rsid w:val="007C7B66"/>
    <w:rsid w:val="007D1D3B"/>
    <w:rsid w:val="007D35BA"/>
    <w:rsid w:val="0080411C"/>
    <w:rsid w:val="008103A3"/>
    <w:rsid w:val="00814B89"/>
    <w:rsid w:val="00820AA7"/>
    <w:rsid w:val="0082543F"/>
    <w:rsid w:val="00833BBC"/>
    <w:rsid w:val="008744D7"/>
    <w:rsid w:val="008753D7"/>
    <w:rsid w:val="00880414"/>
    <w:rsid w:val="008A06DD"/>
    <w:rsid w:val="008A08B1"/>
    <w:rsid w:val="008B6334"/>
    <w:rsid w:val="008B7F33"/>
    <w:rsid w:val="008C02CD"/>
    <w:rsid w:val="008C1893"/>
    <w:rsid w:val="008D0085"/>
    <w:rsid w:val="008D2643"/>
    <w:rsid w:val="008D5CCD"/>
    <w:rsid w:val="008E0EFE"/>
    <w:rsid w:val="008E6DB5"/>
    <w:rsid w:val="008F3368"/>
    <w:rsid w:val="008F4C27"/>
    <w:rsid w:val="008F7316"/>
    <w:rsid w:val="00904E70"/>
    <w:rsid w:val="009108E3"/>
    <w:rsid w:val="0091120E"/>
    <w:rsid w:val="00923B48"/>
    <w:rsid w:val="00931E36"/>
    <w:rsid w:val="00934137"/>
    <w:rsid w:val="00941A37"/>
    <w:rsid w:val="00942209"/>
    <w:rsid w:val="00944D88"/>
    <w:rsid w:val="00947941"/>
    <w:rsid w:val="00954DF3"/>
    <w:rsid w:val="00967E7E"/>
    <w:rsid w:val="009758F8"/>
    <w:rsid w:val="00976DF2"/>
    <w:rsid w:val="009D1804"/>
    <w:rsid w:val="009D5C53"/>
    <w:rsid w:val="009E5BAE"/>
    <w:rsid w:val="009F3E9B"/>
    <w:rsid w:val="009F5F1D"/>
    <w:rsid w:val="009F73E2"/>
    <w:rsid w:val="00A11A18"/>
    <w:rsid w:val="00A16B30"/>
    <w:rsid w:val="00A20638"/>
    <w:rsid w:val="00A21AD2"/>
    <w:rsid w:val="00A237E7"/>
    <w:rsid w:val="00A30786"/>
    <w:rsid w:val="00A31A48"/>
    <w:rsid w:val="00A42F9C"/>
    <w:rsid w:val="00A50B8C"/>
    <w:rsid w:val="00A54295"/>
    <w:rsid w:val="00A60994"/>
    <w:rsid w:val="00A67DD8"/>
    <w:rsid w:val="00A7363D"/>
    <w:rsid w:val="00A8346A"/>
    <w:rsid w:val="00A858B7"/>
    <w:rsid w:val="00A8716B"/>
    <w:rsid w:val="00A8760E"/>
    <w:rsid w:val="00A97211"/>
    <w:rsid w:val="00AA0D38"/>
    <w:rsid w:val="00AA0DB2"/>
    <w:rsid w:val="00AA6419"/>
    <w:rsid w:val="00AB03CE"/>
    <w:rsid w:val="00AB57DE"/>
    <w:rsid w:val="00AB7FF5"/>
    <w:rsid w:val="00AD1C56"/>
    <w:rsid w:val="00AD55C3"/>
    <w:rsid w:val="00AD76CA"/>
    <w:rsid w:val="00AE3345"/>
    <w:rsid w:val="00AE454E"/>
    <w:rsid w:val="00AE47A1"/>
    <w:rsid w:val="00AF4E18"/>
    <w:rsid w:val="00B35C49"/>
    <w:rsid w:val="00B5242B"/>
    <w:rsid w:val="00B5318C"/>
    <w:rsid w:val="00B6469A"/>
    <w:rsid w:val="00B8231E"/>
    <w:rsid w:val="00BA26C8"/>
    <w:rsid w:val="00BA72D0"/>
    <w:rsid w:val="00BC49B1"/>
    <w:rsid w:val="00BC65D6"/>
    <w:rsid w:val="00BC776C"/>
    <w:rsid w:val="00BD2612"/>
    <w:rsid w:val="00BE2040"/>
    <w:rsid w:val="00BF75DC"/>
    <w:rsid w:val="00C02560"/>
    <w:rsid w:val="00C02AF5"/>
    <w:rsid w:val="00C301BE"/>
    <w:rsid w:val="00C30720"/>
    <w:rsid w:val="00C37381"/>
    <w:rsid w:val="00C37B47"/>
    <w:rsid w:val="00C41F88"/>
    <w:rsid w:val="00C54C67"/>
    <w:rsid w:val="00C6036B"/>
    <w:rsid w:val="00C61D62"/>
    <w:rsid w:val="00C91544"/>
    <w:rsid w:val="00C9466D"/>
    <w:rsid w:val="00CA015F"/>
    <w:rsid w:val="00CB2732"/>
    <w:rsid w:val="00CB7E8C"/>
    <w:rsid w:val="00CC0194"/>
    <w:rsid w:val="00CC5046"/>
    <w:rsid w:val="00CC5B40"/>
    <w:rsid w:val="00CC6C34"/>
    <w:rsid w:val="00CD488D"/>
    <w:rsid w:val="00CD7C91"/>
    <w:rsid w:val="00CF0D13"/>
    <w:rsid w:val="00D05C59"/>
    <w:rsid w:val="00D1083E"/>
    <w:rsid w:val="00D10953"/>
    <w:rsid w:val="00D15576"/>
    <w:rsid w:val="00D17024"/>
    <w:rsid w:val="00D22461"/>
    <w:rsid w:val="00D24C29"/>
    <w:rsid w:val="00D274F7"/>
    <w:rsid w:val="00D44209"/>
    <w:rsid w:val="00D538CD"/>
    <w:rsid w:val="00D55332"/>
    <w:rsid w:val="00D641F5"/>
    <w:rsid w:val="00D64535"/>
    <w:rsid w:val="00D6477C"/>
    <w:rsid w:val="00D66C09"/>
    <w:rsid w:val="00D73AEB"/>
    <w:rsid w:val="00D80302"/>
    <w:rsid w:val="00D82353"/>
    <w:rsid w:val="00D82550"/>
    <w:rsid w:val="00D878A2"/>
    <w:rsid w:val="00DA4FE3"/>
    <w:rsid w:val="00DA6853"/>
    <w:rsid w:val="00DB36CC"/>
    <w:rsid w:val="00DB478C"/>
    <w:rsid w:val="00DB7C94"/>
    <w:rsid w:val="00DC192C"/>
    <w:rsid w:val="00DC3446"/>
    <w:rsid w:val="00DC64CF"/>
    <w:rsid w:val="00DD493F"/>
    <w:rsid w:val="00DF6904"/>
    <w:rsid w:val="00E00A72"/>
    <w:rsid w:val="00E13C6B"/>
    <w:rsid w:val="00E267D5"/>
    <w:rsid w:val="00E31034"/>
    <w:rsid w:val="00E32928"/>
    <w:rsid w:val="00E340CE"/>
    <w:rsid w:val="00E4365A"/>
    <w:rsid w:val="00E45157"/>
    <w:rsid w:val="00E50BA7"/>
    <w:rsid w:val="00E76B93"/>
    <w:rsid w:val="00E91B0F"/>
    <w:rsid w:val="00E96DBA"/>
    <w:rsid w:val="00EA1FD8"/>
    <w:rsid w:val="00EB1459"/>
    <w:rsid w:val="00EB2F48"/>
    <w:rsid w:val="00EB32C4"/>
    <w:rsid w:val="00EB4011"/>
    <w:rsid w:val="00EB6BCD"/>
    <w:rsid w:val="00EE0120"/>
    <w:rsid w:val="00F05BED"/>
    <w:rsid w:val="00F078B7"/>
    <w:rsid w:val="00F15A4A"/>
    <w:rsid w:val="00F22CCE"/>
    <w:rsid w:val="00F256BA"/>
    <w:rsid w:val="00F305F7"/>
    <w:rsid w:val="00F31036"/>
    <w:rsid w:val="00F65B3F"/>
    <w:rsid w:val="00F85E86"/>
    <w:rsid w:val="00F866B3"/>
    <w:rsid w:val="00F97A2F"/>
    <w:rsid w:val="00FA2ABD"/>
    <w:rsid w:val="00FB33F9"/>
    <w:rsid w:val="00FC2677"/>
    <w:rsid w:val="00FC35A6"/>
    <w:rsid w:val="00FC6020"/>
    <w:rsid w:val="00FD20C5"/>
    <w:rsid w:val="00FD2A2E"/>
    <w:rsid w:val="00FD3EF5"/>
    <w:rsid w:val="00FD6309"/>
    <w:rsid w:val="00FE7B61"/>
    <w:rsid w:val="00FF1C4C"/>
    <w:rsid w:val="0B0B20B1"/>
    <w:rsid w:val="18721FBF"/>
    <w:rsid w:val="1F435247"/>
    <w:rsid w:val="431F50E4"/>
    <w:rsid w:val="44E75759"/>
    <w:rsid w:val="4B222EC1"/>
    <w:rsid w:val="54F07F17"/>
    <w:rsid w:val="77A4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56544"/>
  <w15:docId w15:val="{9881E9C5-55CD-48BC-B1F4-4C0DAA3D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491D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C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11">
    <w:name w:val="列出段落1"/>
    <w:basedOn w:val="a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491DC7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C8E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806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9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48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496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1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577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248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F34E65-B8C1-4187-97DA-C93B5D2E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262</Words>
  <Characters>270</Characters>
  <Application>Microsoft Office Word</Application>
  <DocSecurity>0</DocSecurity>
  <Lines>33</Lines>
  <Paragraphs>59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dwh</dc:creator>
  <cp:lastModifiedBy>杨 再伟</cp:lastModifiedBy>
  <cp:revision>48</cp:revision>
  <dcterms:created xsi:type="dcterms:W3CDTF">2021-08-03T09:28:00Z</dcterms:created>
  <dcterms:modified xsi:type="dcterms:W3CDTF">2023-05-10T08:03:00Z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